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2A463">
      <w:pPr>
        <w:ind w:left="426" w:right="-17"/>
        <w:jc w:val="center"/>
        <w:rPr>
          <w:rFonts w:ascii="Arial" w:hAnsi="Arial" w:cs="Arial"/>
          <w:b/>
        </w:rPr>
      </w:pPr>
      <w:bookmarkStart w:id="0" w:name="_Hlk142658039"/>
      <w:r>
        <w:rPr>
          <w:rFonts w:ascii="Arial" w:hAnsi="Arial" w:cs="Arial"/>
          <w:b/>
        </w:rPr>
        <w:t>ANEXO VII</w:t>
      </w:r>
    </w:p>
    <w:p w14:paraId="4699DE4F">
      <w:pPr>
        <w:ind w:left="426" w:right="-17"/>
        <w:jc w:val="center"/>
        <w:rPr>
          <w:rFonts w:ascii="Arial" w:hAnsi="Arial" w:cs="Arial"/>
          <w:b/>
        </w:rPr>
      </w:pPr>
    </w:p>
    <w:p w14:paraId="6EFB4C47">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3977694A">
      <w:pPr>
        <w:ind w:left="426" w:right="-17"/>
        <w:jc w:val="center"/>
        <w:rPr>
          <w:rFonts w:ascii="Arial" w:hAnsi="Arial" w:cs="Arial"/>
          <w:b/>
        </w:rPr>
      </w:pPr>
    </w:p>
    <w:p w14:paraId="7C3BCD3E">
      <w:pPr>
        <w:ind w:left="4253" w:right="-17"/>
        <w:jc w:val="both"/>
        <w:rPr>
          <w:rFonts w:ascii="Arial" w:hAnsi="Arial" w:cs="Arial"/>
          <w:b/>
        </w:rPr>
      </w:pPr>
    </w:p>
    <w:p w14:paraId="014006E2">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37D2CD8F">
      <w:pPr>
        <w:spacing w:line="276" w:lineRule="auto"/>
        <w:ind w:left="5103" w:right="-17"/>
        <w:jc w:val="both"/>
        <w:rPr>
          <w:rFonts w:ascii="Arial" w:hAnsi="Arial" w:cs="Arial"/>
          <w:b/>
        </w:rPr>
      </w:pPr>
    </w:p>
    <w:bookmarkEnd w:id="1"/>
    <w:p w14:paraId="769C670E">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1.406/2026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b/>
          <w:bCs/>
          <w:sz w:val="22"/>
          <w:szCs w:val="22"/>
          <w:highlight w:val="none"/>
        </w:rPr>
        <w:t>985867-30/2026</w:t>
      </w:r>
      <w:bookmarkStart w:id="18" w:name="_GoBack"/>
      <w:bookmarkEnd w:id="18"/>
      <w:r>
        <w:rPr>
          <w:rFonts w:ascii="Arial" w:hAnsi="Arial" w:cs="Arial"/>
          <w:sz w:val="22"/>
          <w:szCs w:val="22"/>
        </w:rPr>
        <w:t>, mediante as cláusulas e condições a seguir enunciadas.</w:t>
      </w:r>
    </w:p>
    <w:p w14:paraId="21B936DD">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11D6D37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w:t>
      </w:r>
      <w:bookmarkStart w:id="3" w:name="__DdeLink__668_3221334588"/>
      <w:bookmarkStart w:id="4" w:name="__DdeLink__2205_1530975333"/>
      <w:r>
        <w:rPr>
          <w:rFonts w:ascii="Arial" w:hAnsi="Arial" w:cs="Arial"/>
          <w:b/>
          <w:bCs w:val="0"/>
          <w:iCs/>
          <w:lang w:val="pt-BR" w:eastAsia="pt-BR"/>
        </w:rPr>
        <w:t xml:space="preserve"> MATERIAL CIRÚRGICO E HOSPITALAR DESCARTÁVEL, PARA ATENDER A NECESSIDADE DO HOSPITAL MUNICIPAL RAUL SERTÃ, HOSPITAL MATERNIDADE DR. MÁRIO DUTRA DE CASTRO, SUBSECRETARIA DE ATENÇÃO BÁSICA, ESTRATÉGIA DA SAÚDE DA FAMÍLIA,</w:t>
      </w:r>
      <w:bookmarkEnd w:id="3"/>
      <w:bookmarkEnd w:id="4"/>
      <w:r>
        <w:rPr>
          <w:rFonts w:ascii="Arial" w:hAnsi="Arial" w:cs="Arial"/>
          <w:bCs/>
          <w:iCs/>
        </w:rPr>
        <w:t xml:space="preserve"> nas condições estabelecidas no Termo de Referência – Anexo I do edital.</w:t>
      </w:r>
    </w:p>
    <w:p w14:paraId="5DB60EFF">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29B89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3F6E323E">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B14976B">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80B7CA9">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7C9DF901">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6461F1B2">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4064A054">
            <w:pPr>
              <w:pStyle w:val="19"/>
              <w:ind w:left="0"/>
              <w:jc w:val="center"/>
              <w:rPr>
                <w:rFonts w:ascii="Arial" w:hAnsi="Arial" w:cs="Arial"/>
                <w:b/>
              </w:rPr>
            </w:pPr>
            <w:r>
              <w:rPr>
                <w:rFonts w:ascii="Arial" w:hAnsi="Arial" w:cs="Arial"/>
                <w:b/>
              </w:rPr>
              <w:t>VALOR</w:t>
            </w:r>
          </w:p>
        </w:tc>
      </w:tr>
      <w:tr w14:paraId="0A616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480BA2AB">
            <w:pPr>
              <w:rPr>
                <w:rFonts w:ascii="Arial" w:hAnsi="Arial" w:cs="Arial"/>
              </w:rPr>
            </w:pPr>
          </w:p>
        </w:tc>
        <w:tc>
          <w:tcPr>
            <w:tcW w:w="606" w:type="pct"/>
            <w:vMerge w:val="continue"/>
            <w:shd w:val="clear" w:color="auto" w:fill="D8D8D8"/>
          </w:tcPr>
          <w:p w14:paraId="4DC8ADA9">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55543146">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09D67F8F">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81C8C0A">
            <w:pPr>
              <w:rPr>
                <w:rFonts w:ascii="Arial" w:hAnsi="Arial" w:cs="Arial"/>
              </w:rPr>
            </w:pPr>
          </w:p>
        </w:tc>
        <w:tc>
          <w:tcPr>
            <w:tcW w:w="839" w:type="pct"/>
            <w:shd w:val="clear" w:color="auto" w:fill="D8D8D8"/>
            <w:tcMar>
              <w:top w:w="0" w:type="dxa"/>
              <w:left w:w="108" w:type="dxa"/>
              <w:bottom w:w="0" w:type="dxa"/>
              <w:right w:w="108" w:type="dxa"/>
            </w:tcMar>
            <w:vAlign w:val="center"/>
          </w:tcPr>
          <w:p w14:paraId="727AFD5D">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33628549">
            <w:pPr>
              <w:pStyle w:val="19"/>
              <w:ind w:left="0"/>
              <w:jc w:val="center"/>
              <w:rPr>
                <w:rFonts w:ascii="Arial" w:hAnsi="Arial" w:cs="Arial"/>
                <w:b/>
              </w:rPr>
            </w:pPr>
            <w:r>
              <w:rPr>
                <w:rFonts w:ascii="Arial" w:hAnsi="Arial" w:cs="Arial"/>
                <w:b/>
              </w:rPr>
              <w:t>TOTAL</w:t>
            </w:r>
          </w:p>
        </w:tc>
      </w:tr>
      <w:tr w14:paraId="4408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4BC96594">
            <w:pPr>
              <w:pStyle w:val="38"/>
              <w:jc w:val="center"/>
              <w:rPr>
                <w:rFonts w:ascii="Arial" w:hAnsi="Arial" w:cs="Arial"/>
                <w:b/>
              </w:rPr>
            </w:pPr>
            <w:r>
              <w:rPr>
                <w:rFonts w:ascii="Arial" w:hAnsi="Arial" w:cs="Arial"/>
                <w:b/>
              </w:rPr>
              <w:t>1</w:t>
            </w:r>
          </w:p>
        </w:tc>
        <w:tc>
          <w:tcPr>
            <w:tcW w:w="606" w:type="pct"/>
          </w:tcPr>
          <w:p w14:paraId="7FF5D46D">
            <w:pPr>
              <w:pStyle w:val="38"/>
              <w:jc w:val="both"/>
              <w:rPr>
                <w:rFonts w:ascii="Arial" w:hAnsi="Arial" w:cs="Arial"/>
              </w:rPr>
            </w:pPr>
          </w:p>
        </w:tc>
        <w:tc>
          <w:tcPr>
            <w:tcW w:w="1328" w:type="pct"/>
            <w:tcMar>
              <w:top w:w="0" w:type="dxa"/>
              <w:left w:w="108" w:type="dxa"/>
              <w:bottom w:w="0" w:type="dxa"/>
              <w:right w:w="108" w:type="dxa"/>
            </w:tcMar>
            <w:vAlign w:val="center"/>
          </w:tcPr>
          <w:p w14:paraId="2584A229">
            <w:pPr>
              <w:pStyle w:val="38"/>
              <w:jc w:val="both"/>
              <w:rPr>
                <w:rFonts w:ascii="Arial" w:hAnsi="Arial" w:cs="Arial"/>
              </w:rPr>
            </w:pPr>
          </w:p>
        </w:tc>
        <w:tc>
          <w:tcPr>
            <w:tcW w:w="534" w:type="pct"/>
            <w:tcMar>
              <w:top w:w="0" w:type="dxa"/>
              <w:left w:w="108" w:type="dxa"/>
              <w:bottom w:w="0" w:type="dxa"/>
              <w:right w:w="108" w:type="dxa"/>
            </w:tcMar>
            <w:vAlign w:val="center"/>
          </w:tcPr>
          <w:p w14:paraId="1EC8E282">
            <w:pPr>
              <w:pStyle w:val="38"/>
              <w:jc w:val="center"/>
              <w:rPr>
                <w:rFonts w:ascii="Arial" w:hAnsi="Arial" w:cs="Arial"/>
              </w:rPr>
            </w:pPr>
          </w:p>
        </w:tc>
        <w:tc>
          <w:tcPr>
            <w:tcW w:w="583" w:type="pct"/>
            <w:tcMar>
              <w:top w:w="0" w:type="dxa"/>
              <w:left w:w="108" w:type="dxa"/>
              <w:bottom w:w="0" w:type="dxa"/>
              <w:right w:w="108" w:type="dxa"/>
            </w:tcMar>
            <w:vAlign w:val="center"/>
          </w:tcPr>
          <w:p w14:paraId="34D347B6">
            <w:pPr>
              <w:pStyle w:val="38"/>
              <w:jc w:val="center"/>
              <w:rPr>
                <w:rFonts w:ascii="Arial" w:hAnsi="Arial" w:cs="Arial"/>
                <w:b/>
              </w:rPr>
            </w:pPr>
          </w:p>
        </w:tc>
        <w:tc>
          <w:tcPr>
            <w:tcW w:w="839" w:type="pct"/>
            <w:tcMar>
              <w:top w:w="0" w:type="dxa"/>
              <w:left w:w="108" w:type="dxa"/>
              <w:bottom w:w="0" w:type="dxa"/>
              <w:right w:w="108" w:type="dxa"/>
            </w:tcMar>
            <w:vAlign w:val="center"/>
          </w:tcPr>
          <w:p w14:paraId="582D016D">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CC1A593">
            <w:pPr>
              <w:pStyle w:val="38"/>
              <w:spacing w:after="0" w:line="240" w:lineRule="auto"/>
              <w:jc w:val="right"/>
              <w:rPr>
                <w:rFonts w:ascii="Arial" w:hAnsi="Arial" w:cs="Arial"/>
                <w:b/>
                <w:bCs/>
              </w:rPr>
            </w:pPr>
          </w:p>
        </w:tc>
      </w:tr>
      <w:tr w14:paraId="277B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3D6FC316">
            <w:pPr>
              <w:pStyle w:val="38"/>
              <w:jc w:val="center"/>
              <w:rPr>
                <w:rFonts w:ascii="Arial" w:hAnsi="Arial" w:cs="Arial"/>
                <w:b/>
              </w:rPr>
            </w:pPr>
            <w:r>
              <w:rPr>
                <w:rFonts w:ascii="Arial" w:hAnsi="Arial" w:cs="Arial"/>
                <w:b/>
              </w:rPr>
              <w:t>…</w:t>
            </w:r>
          </w:p>
        </w:tc>
        <w:tc>
          <w:tcPr>
            <w:tcW w:w="606" w:type="pct"/>
          </w:tcPr>
          <w:p w14:paraId="487B7B3D">
            <w:pPr>
              <w:pStyle w:val="38"/>
              <w:jc w:val="both"/>
              <w:rPr>
                <w:rFonts w:ascii="Arial" w:hAnsi="Arial" w:cs="Arial"/>
              </w:rPr>
            </w:pPr>
          </w:p>
        </w:tc>
        <w:tc>
          <w:tcPr>
            <w:tcW w:w="1328" w:type="pct"/>
            <w:tcMar>
              <w:top w:w="0" w:type="dxa"/>
              <w:left w:w="108" w:type="dxa"/>
              <w:bottom w:w="0" w:type="dxa"/>
              <w:right w:w="108" w:type="dxa"/>
            </w:tcMar>
            <w:vAlign w:val="center"/>
          </w:tcPr>
          <w:p w14:paraId="0DBC92F8">
            <w:pPr>
              <w:pStyle w:val="38"/>
              <w:jc w:val="both"/>
              <w:rPr>
                <w:rFonts w:ascii="Arial" w:hAnsi="Arial" w:cs="Arial"/>
              </w:rPr>
            </w:pPr>
          </w:p>
        </w:tc>
        <w:tc>
          <w:tcPr>
            <w:tcW w:w="534" w:type="pct"/>
            <w:tcMar>
              <w:top w:w="0" w:type="dxa"/>
              <w:left w:w="108" w:type="dxa"/>
              <w:bottom w:w="0" w:type="dxa"/>
              <w:right w:w="108" w:type="dxa"/>
            </w:tcMar>
            <w:vAlign w:val="center"/>
          </w:tcPr>
          <w:p w14:paraId="7AD3A5E1">
            <w:pPr>
              <w:pStyle w:val="38"/>
              <w:jc w:val="center"/>
              <w:rPr>
                <w:rFonts w:ascii="Arial" w:hAnsi="Arial" w:cs="Arial"/>
              </w:rPr>
            </w:pPr>
          </w:p>
        </w:tc>
        <w:tc>
          <w:tcPr>
            <w:tcW w:w="583" w:type="pct"/>
            <w:tcMar>
              <w:top w:w="0" w:type="dxa"/>
              <w:left w:w="108" w:type="dxa"/>
              <w:bottom w:w="0" w:type="dxa"/>
              <w:right w:w="108" w:type="dxa"/>
            </w:tcMar>
            <w:vAlign w:val="center"/>
          </w:tcPr>
          <w:p w14:paraId="274636E3">
            <w:pPr>
              <w:pStyle w:val="38"/>
              <w:jc w:val="center"/>
              <w:rPr>
                <w:rFonts w:ascii="Arial" w:hAnsi="Arial" w:cs="Arial"/>
                <w:b/>
              </w:rPr>
            </w:pPr>
          </w:p>
        </w:tc>
        <w:tc>
          <w:tcPr>
            <w:tcW w:w="839" w:type="pct"/>
            <w:tcMar>
              <w:top w:w="0" w:type="dxa"/>
              <w:left w:w="108" w:type="dxa"/>
              <w:bottom w:w="0" w:type="dxa"/>
              <w:right w:w="108" w:type="dxa"/>
            </w:tcMar>
            <w:vAlign w:val="center"/>
          </w:tcPr>
          <w:p w14:paraId="60E3A79D">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72A4722">
            <w:pPr>
              <w:pStyle w:val="38"/>
              <w:spacing w:after="0" w:line="240" w:lineRule="auto"/>
              <w:jc w:val="right"/>
              <w:rPr>
                <w:rFonts w:ascii="Arial" w:hAnsi="Arial" w:cs="Arial"/>
                <w:b/>
                <w:bCs/>
              </w:rPr>
            </w:pPr>
          </w:p>
        </w:tc>
      </w:tr>
    </w:tbl>
    <w:p w14:paraId="7D9A020D">
      <w:pPr>
        <w:pStyle w:val="19"/>
        <w:widowControl/>
        <w:tabs>
          <w:tab w:val="left" w:pos="426"/>
        </w:tabs>
        <w:autoSpaceDE/>
        <w:autoSpaceDN/>
        <w:spacing w:before="120" w:after="120" w:line="276" w:lineRule="auto"/>
        <w:ind w:left="0"/>
        <w:jc w:val="both"/>
        <w:rPr>
          <w:rFonts w:ascii="Arial" w:hAnsi="Arial" w:cs="Arial"/>
          <w:iCs/>
        </w:rPr>
      </w:pPr>
    </w:p>
    <w:p w14:paraId="5F458368">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6E7208FE">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69A023C0">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1F8FB90A">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264FACD0">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58CEC0C5">
      <w:pPr>
        <w:pStyle w:val="19"/>
        <w:widowControl/>
        <w:tabs>
          <w:tab w:val="left" w:pos="426"/>
        </w:tabs>
        <w:autoSpaceDE/>
        <w:autoSpaceDN/>
        <w:spacing w:before="120" w:after="120" w:line="276" w:lineRule="auto"/>
        <w:ind w:left="862"/>
        <w:jc w:val="both"/>
        <w:rPr>
          <w:rFonts w:ascii="Arial" w:hAnsi="Arial" w:cs="Arial"/>
          <w:bCs/>
        </w:rPr>
      </w:pPr>
    </w:p>
    <w:p w14:paraId="1EA8CB0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19C0A66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6C3F678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4964E33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44E52D6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5241782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2E545A63">
      <w:pPr>
        <w:pStyle w:val="19"/>
        <w:widowControl/>
        <w:tabs>
          <w:tab w:val="left" w:pos="426"/>
        </w:tabs>
        <w:autoSpaceDE/>
        <w:autoSpaceDN/>
        <w:spacing w:before="120" w:after="120" w:line="276" w:lineRule="auto"/>
        <w:ind w:left="0"/>
        <w:jc w:val="both"/>
        <w:rPr>
          <w:rFonts w:ascii="Arial" w:hAnsi="Arial" w:cs="Arial"/>
          <w:bCs/>
          <w:iCs/>
          <w:color w:val="FF0000"/>
        </w:rPr>
      </w:pPr>
    </w:p>
    <w:p w14:paraId="238033F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135807E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 EXECUÇÃO CONTRATUAL</w:t>
      </w:r>
    </w:p>
    <w:p w14:paraId="6581A05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 </w:t>
      </w:r>
      <w:bookmarkStart w:id="5" w:name="__DdeLink__1086_2522526913"/>
      <w:r>
        <w:rPr>
          <w:rFonts w:hint="default" w:ascii="Arial" w:hAnsi="Arial" w:cs="Arial"/>
          <w:bCs/>
          <w:iCs/>
          <w:lang w:val="pt-BR"/>
        </w:rPr>
        <w:t>O prazo de entrega do objeto é de no máximo 30 (trinta) dias corridos, contados a partir do recebimento da nota de empenho, autorização de fornecimento ou documento equivalente</w:t>
      </w:r>
      <w:bookmarkEnd w:id="5"/>
      <w:r>
        <w:rPr>
          <w:rFonts w:hint="default" w:ascii="Arial" w:hAnsi="Arial" w:cs="Arial"/>
          <w:bCs/>
          <w:iCs/>
          <w:lang w:val="pt-BR"/>
        </w:rPr>
        <w:t>;</w:t>
      </w:r>
    </w:p>
    <w:p w14:paraId="53C4A4B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Caso não seja possível a entrega na data assinalada, a empresa deverá comunicar as razões respectivas com pelo menos 5 (cinco) dias úteis de antecedência para que qualquer pleito de prorrogação de prazo seja analisado, ressalvadas situações de caso fortuito e força maior;</w:t>
      </w:r>
    </w:p>
    <w:p w14:paraId="50CF78E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A Contratada deverá proceder com a entrega do objeto nos locas e horário arrolados abaixo:</w:t>
      </w:r>
    </w:p>
    <w:p w14:paraId="020CC2D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3.1.3.1. </w:t>
      </w:r>
      <w:r>
        <w:rPr>
          <w:rFonts w:hint="default" w:ascii="Arial" w:hAnsi="Arial" w:cs="Arial"/>
          <w:b/>
          <w:bCs w:val="0"/>
          <w:iCs/>
          <w:u w:val="single"/>
          <w:lang w:val="pt-BR"/>
        </w:rPr>
        <w:t>Almoxarifado Central</w:t>
      </w:r>
      <w:r>
        <w:rPr>
          <w:rFonts w:hint="default" w:ascii="Arial" w:hAnsi="Arial" w:cs="Arial"/>
          <w:bCs/>
          <w:iCs/>
          <w:lang w:val="pt-BR"/>
        </w:rPr>
        <w:t xml:space="preserve"> – Av. Conselheiro Julius Arp, nº 80, 2º andar, Centro, Nova Friburgo/RJ. CEP: 28623-000. Respeitando os dias de entrega, de segunda-feira a quinta-feira, nos horários de 09:00h às 16:00h;</w:t>
      </w:r>
    </w:p>
    <w:p w14:paraId="7274BA83">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78D79EE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materiais serão recebidos provisoriamente, de forma sumária, no prazo de 2 (dois) dias úteis, pelo(a) responsável pelo acompanhamento e fiscalização do contrato, para efeito de posterior verificação de sua conformidade com as especificações constantes no Termo de Referência e na proposta;</w:t>
      </w:r>
    </w:p>
    <w:p w14:paraId="6D2C964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materiais poderão ser rejeitados, no todo ou em parte, quando em desacordo com as especificações constantes no Termo de Referência e na proposta, devendo ser substituídos no prazo de 3 (três) dias úteis, a contar da notificação da contratada, às suas custas, sem prejuízo da aplicação das penalidades;</w:t>
      </w:r>
    </w:p>
    <w:p w14:paraId="459709B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materiais serão recebidos definitivamente no prazo de 2 (dois) dias úteis, contados do recebimento provisório, após a verificação da qualidade e quantidade do material e consequente aceitação mediante termo detalhado;</w:t>
      </w:r>
    </w:p>
    <w:p w14:paraId="37B59BB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Na hipótese de a verificação a que se refere o subitem anterior não ser procedida dentro do prazo fixado, reputar-se-á como realizada, consumando-se o recebimento definitivo no dia do esgotamento do prazo;</w:t>
      </w:r>
    </w:p>
    <w:p w14:paraId="1C27485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 recebimento provisório ou definitivo não excluirá a responsabilidade civil pela solidez e pela segurança do serviço nem a responsabilidade ético-profissional pela perfeita execução do contrato;</w:t>
      </w:r>
    </w:p>
    <w:p w14:paraId="2C824F2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Não cabe para o objeto do presente, prazo de garantia contratual dos bens, complementar à garantia legal.</w:t>
      </w:r>
    </w:p>
    <w:p w14:paraId="61AD738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 GESTÃO DO CONTRATO</w:t>
      </w:r>
    </w:p>
    <w:p w14:paraId="19C4C70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14:paraId="75D8540F">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15%252525252525252525252525252525252"/>
      <w:bookmarkEnd w:id="6"/>
      <w:bookmarkStart w:id="7" w:name="art115%252525252525252525252525252525251"/>
      <w:bookmarkEnd w:id="7"/>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14:paraId="4ED79B90">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14:paraId="7B8293D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p>
    <w:p w14:paraId="51076372">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17%252525252525252525252525252525252"/>
      <w:bookmarkEnd w:id="8"/>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14:paraId="717B618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2759756">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0"/>
      <w:bookmarkEnd w:id="9"/>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A6F4E1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14:paraId="17456C75">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1%252525252525252525252525252525252"/>
      <w:bookmarkEnd w:id="10"/>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14:paraId="0BAA3134">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1" w:name="art122%252525252525252525252525252525251"/>
      <w:bookmarkEnd w:id="11"/>
      <w:bookmarkStart w:id="12" w:name="art122"/>
      <w:bookmarkEnd w:id="12"/>
      <w:bookmarkStart w:id="13" w:name="art123"/>
      <w:bookmarkEnd w:id="13"/>
      <w:bookmarkStart w:id="14" w:name="art122%252525252525252525252525252525252"/>
      <w:bookmarkEnd w:id="14"/>
      <w:bookmarkStart w:id="15" w:name="art122%252525252525252525252525252525253"/>
      <w:bookmarkEnd w:id="15"/>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w:t>
      </w:r>
    </w:p>
    <w:p w14:paraId="4C232A8E">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w:t>
      </w:r>
    </w:p>
    <w:p w14:paraId="334B841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7052DBD">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53BAD50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Para o acompanhamento, gestão e fiscalização da execução do presente contrato, serão designados em momento posterior, antes da execução do objeto, agentes públicos gestor, gestor substituto, fiscal, e fiscal substituto;</w:t>
      </w:r>
    </w:p>
    <w:p w14:paraId="46738BA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1C83A61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3.2.13. O(s) fiscal(is) designado pela Contratante deverá ter a experiência necessária para o acompanhamento e controle da execução dos serviços e do contrato;</w:t>
      </w:r>
    </w:p>
    <w:p w14:paraId="5D4938D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3.2.14. A verificação da adequação da prestação do serviço deverá ser realizada com base nos critérios previstos no Termo de Referência;</w:t>
      </w:r>
    </w:p>
    <w:p w14:paraId="1212156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578D5219">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66A5A7F3">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438829B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1FC2610">
      <w:pPr>
        <w:pStyle w:val="19"/>
        <w:widowControl/>
        <w:tabs>
          <w:tab w:val="left" w:pos="426"/>
        </w:tabs>
        <w:autoSpaceDE/>
        <w:autoSpaceDN/>
        <w:spacing w:before="120" w:after="120" w:line="276" w:lineRule="auto"/>
        <w:ind w:left="0"/>
        <w:jc w:val="both"/>
        <w:rPr>
          <w:rFonts w:ascii="Arial" w:hAnsi="Arial" w:cs="Arial"/>
          <w:bCs/>
          <w:i/>
          <w:iCs/>
          <w:color w:val="FF0000"/>
        </w:rPr>
      </w:pPr>
    </w:p>
    <w:p w14:paraId="5A5B44B0">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0C7575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017C005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2536C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7A4C897">
      <w:pPr>
        <w:pStyle w:val="19"/>
        <w:widowControl/>
        <w:tabs>
          <w:tab w:val="left" w:pos="426"/>
        </w:tabs>
        <w:autoSpaceDE/>
        <w:autoSpaceDN/>
        <w:spacing w:before="120" w:after="120" w:line="276" w:lineRule="auto"/>
        <w:ind w:left="0"/>
        <w:jc w:val="both"/>
        <w:rPr>
          <w:rFonts w:ascii="Arial" w:hAnsi="Arial" w:cs="Arial"/>
          <w:bCs/>
          <w:i/>
          <w:color w:val="FF0000"/>
        </w:rPr>
      </w:pPr>
    </w:p>
    <w:p w14:paraId="30D1FF4B">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0799BB9B">
      <w:pPr>
        <w:pStyle w:val="19"/>
        <w:tabs>
          <w:tab w:val="left" w:pos="284"/>
        </w:tabs>
        <w:spacing w:line="276" w:lineRule="auto"/>
        <w:ind w:left="0"/>
        <w:jc w:val="both"/>
        <w:rPr>
          <w:rFonts w:ascii="Arial" w:hAnsi="Arial" w:cs="Arial" w:eastAsiaTheme="majorEastAsia"/>
          <w:b/>
          <w:bCs/>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.1. As notas fiscais deverão ser emitidas em nome do </w:t>
      </w:r>
      <w:r>
        <w:rPr>
          <w:rFonts w:ascii="Arial" w:hAnsi="Arial" w:cs="Arial" w:eastAsiaTheme="majorEastAsia"/>
          <w:b/>
          <w:bCs/>
          <w:lang w:val="pt-BR" w:eastAsia="pt-BR"/>
        </w:rPr>
        <w:t xml:space="preserve">FUNDO MUNICIPAL DE SAÚDE, CNPJ: 11.399.442/0001-79 </w:t>
      </w:r>
      <w:bookmarkStart w:id="16" w:name="__DdeLink__8609_3679100508"/>
      <w:r>
        <w:rPr>
          <w:rFonts w:ascii="Arial" w:hAnsi="Arial" w:cs="Arial" w:eastAsiaTheme="majorEastAsia"/>
          <w:b/>
          <w:bCs/>
          <w:lang w:val="pt-BR" w:eastAsia="pt-BR"/>
        </w:rPr>
        <w:t>–</w:t>
      </w:r>
      <w:bookmarkEnd w:id="16"/>
      <w:r>
        <w:rPr>
          <w:rFonts w:ascii="Arial" w:hAnsi="Arial" w:cs="Arial" w:eastAsiaTheme="majorEastAsia"/>
          <w:b/>
          <w:bCs/>
          <w:lang w:val="pt-BR" w:eastAsia="pt-BR"/>
        </w:rPr>
        <w:t xml:space="preserve"> AVENIDA ALBERTO BRAUNE, Nº 224 SALA 221 – CENTRO – NOVA FRIBURGO/RJ – CEP 28613-001;</w:t>
      </w:r>
    </w:p>
    <w:p w14:paraId="41E2971D">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.2. </w:t>
      </w:r>
      <w:r>
        <w:rPr>
          <w:rFonts w:ascii="Arial" w:hAnsi="Arial" w:cs="Arial" w:eastAsiaTheme="majorEastAsia"/>
          <w:b w:val="0"/>
          <w:bCs w:val="0"/>
          <w:u w:val="single"/>
          <w:lang w:val="pt-BR" w:eastAsia="pt-BR"/>
        </w:rPr>
        <w:t>Liquidação da Despesa:</w:t>
      </w:r>
    </w:p>
    <w:p w14:paraId="09155EBB">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.2.1. A liquidação será realizada pela Secretaria Municipal de Fazenda, a partir do cumprimento das obrigações elencadas n</w:t>
      </w:r>
      <w:r>
        <w:rPr>
          <w:rFonts w:hint="default" w:ascii="Arial" w:hAnsi="Arial" w:cs="Arial" w:eastAsiaTheme="majorEastAsia"/>
          <w:b w:val="0"/>
          <w:bCs w:val="0"/>
          <w:lang w:val="en-US" w:eastAsia="pt-BR"/>
        </w:rPr>
        <w:t>o</w:t>
      </w:r>
      <w:r>
        <w:rPr>
          <w:rFonts w:ascii="Arial" w:hAnsi="Arial" w:cs="Arial" w:eastAsiaTheme="majorEastAsia"/>
          <w:b w:val="0"/>
          <w:bCs w:val="0"/>
          <w:lang w:val="pt-BR" w:eastAsia="pt-BR"/>
        </w:rPr>
        <w:t xml:space="preserve"> Termo de Referência, em obediência ao Decreto nº 2493 de 07 de novembro de 2023,</w:t>
      </w:r>
      <w:r>
        <w:rPr>
          <w:rStyle w:val="9"/>
          <w:sz w:val="20"/>
          <w:szCs w:val="20"/>
          <w:lang w:val="pt-BR" w:eastAsia="pt-BR"/>
        </w:rPr>
        <w:fldChar w:fldCharType="begin"/>
      </w:r>
      <w:r>
        <w:rPr>
          <w:rStyle w:val="9"/>
          <w:sz w:val="20"/>
          <w:szCs w:val="20"/>
          <w:lang w:val="pt-BR" w:eastAsia="pt-BR"/>
        </w:rPr>
        <w:instrText xml:space="preserve"> HYPERLINK "https://pmnf.rj.gov.br/paginas-centralizadas/9_64_Legislacoes.html" </w:instrText>
      </w:r>
      <w:r>
        <w:rPr>
          <w:rStyle w:val="9"/>
          <w:sz w:val="20"/>
          <w:szCs w:val="20"/>
          <w:lang w:val="pt-BR" w:eastAsia="pt-BR"/>
        </w:rPr>
        <w:fldChar w:fldCharType="separate"/>
      </w:r>
      <w:r>
        <w:rPr>
          <w:rStyle w:val="9"/>
          <w:sz w:val="20"/>
          <w:szCs w:val="20"/>
          <w:lang w:val="pt-BR" w:eastAsia="pt-BR"/>
        </w:rPr>
        <w:t xml:space="preserve"> https://pmnf.rj.gov.br/legislacao/index </w:t>
      </w:r>
      <w:r>
        <w:rPr>
          <w:rStyle w:val="9"/>
          <w:sz w:val="20"/>
          <w:szCs w:val="20"/>
          <w:lang w:val="pt-BR" w:eastAsia="pt-BR"/>
        </w:rPr>
        <w:fldChar w:fldCharType="end"/>
      </w:r>
      <w:r>
        <w:rPr>
          <w:rStyle w:val="9"/>
          <w:sz w:val="20"/>
          <w:szCs w:val="20"/>
          <w:lang w:val="pt-BR" w:eastAsia="pt-BR"/>
        </w:rPr>
        <w:t>;</w:t>
      </w:r>
    </w:p>
    <w:p w14:paraId="2FFD5DD1">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.2.2.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r>
        <w:rPr>
          <w:rFonts w:ascii="Arial" w:hAnsi="Arial" w:cs="Arial" w:eastAsiaTheme="majorEastAsia"/>
          <w:b w:val="0"/>
          <w:bCs w:val="0"/>
          <w:lang w:val="pt-BR" w:eastAsia="pt-BR"/>
        </w:rPr>
        <w:fldChar w:fldCharType="begin"/>
      </w:r>
      <w:r>
        <w:rPr>
          <w:rFonts w:ascii="Arial" w:hAnsi="Arial" w:cs="Arial" w:eastAsiaTheme="majorEastAsia"/>
          <w:b w:val="0"/>
          <w:bCs w:val="0"/>
          <w:lang w:val="pt-BR" w:eastAsia="pt-BR"/>
        </w:rPr>
        <w:instrText xml:space="preserve"> HYPERLINK "https://pmnf.rj.gov.br/paginas-centralizadas/9_64_Legislacoes.html" </w:instrText>
      </w:r>
      <w:r>
        <w:rPr>
          <w:rFonts w:ascii="Arial" w:hAnsi="Arial" w:cs="Arial" w:eastAsiaTheme="majorEastAsia"/>
          <w:b w:val="0"/>
          <w:bCs w:val="0"/>
          <w:lang w:val="pt-BR" w:eastAsia="pt-BR"/>
        </w:rPr>
        <w:fldChar w:fldCharType="separate"/>
      </w:r>
      <w:r>
        <w:rPr>
          <w:rFonts w:ascii="Arial" w:hAnsi="Arial" w:cs="Arial" w:eastAsiaTheme="majorEastAsia"/>
          <w:b w:val="0"/>
          <w:bCs w:val="0"/>
          <w:lang w:val="pt-BR" w:eastAsia="pt-BR"/>
        </w:rPr>
        <w:t xml:space="preserve"> </w:t>
      </w:r>
      <w:r>
        <w:rPr>
          <w:rStyle w:val="9"/>
          <w:sz w:val="20"/>
          <w:szCs w:val="20"/>
          <w:lang w:val="pt-BR" w:eastAsia="pt-BR"/>
        </w:rPr>
        <w:t>https://pmnf.rj.gov.br/legislacao/index</w:t>
      </w:r>
      <w:r>
        <w:rPr>
          <w:rFonts w:ascii="Arial" w:hAnsi="Arial" w:cs="Arial" w:eastAsiaTheme="majorEastAsia"/>
          <w:b w:val="0"/>
          <w:bCs w:val="0"/>
          <w:lang w:val="pt-BR" w:eastAsia="pt-BR"/>
        </w:rPr>
        <w:fldChar w:fldCharType="end"/>
      </w:r>
    </w:p>
    <w:p w14:paraId="7AF24B1C">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.3. </w:t>
      </w:r>
      <w:r>
        <w:rPr>
          <w:rFonts w:ascii="Arial" w:hAnsi="Arial" w:cs="Arial" w:eastAsiaTheme="majorEastAsia"/>
          <w:b w:val="0"/>
          <w:bCs w:val="0"/>
          <w:u w:val="single"/>
          <w:lang w:val="pt-BR" w:eastAsia="pt-BR"/>
        </w:rPr>
        <w:t>Pagamento da Despesa:</w:t>
      </w:r>
    </w:p>
    <w:p w14:paraId="532F3EC0">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 O pagamento será efetuado conforme estabelece o Decreto n° 2493 de 07 de novembro de 2023, desde que as certidões listadas abaixo estejam dentro da validade:</w:t>
      </w:r>
    </w:p>
    <w:p w14:paraId="4913E29B">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.3.1.1. Negativa de Débitos Trabalhistas;</w:t>
      </w:r>
    </w:p>
    <w:p w14:paraId="09C8EDF6">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.3.1.2. Fazenda Federal – Abrange as contribuições sociais;</w:t>
      </w:r>
    </w:p>
    <w:p w14:paraId="7BC02205">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.3.1.3. FGTS;</w:t>
      </w:r>
    </w:p>
    <w:p w14:paraId="17C47CD1">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.3.1.4. PGE – Referente à Divida Ativa Estadual;</w:t>
      </w:r>
    </w:p>
    <w:p w14:paraId="44280AB1">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.3.1.5. Municipal – Referente ao ISS e Dívida Ativa;</w:t>
      </w:r>
    </w:p>
    <w:p w14:paraId="203A26E9">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.3.1.6. Estadual CND – Referente ao ICMS;</w:t>
      </w:r>
    </w:p>
    <w:p w14:paraId="11292882">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.4. A Nota Fiscal deverá conter identificação do Banco, número da Agência e da Conta-Corrente, para que possibilite o CONTRATANTE efetuar o pagamento do valor devido;</w:t>
      </w:r>
    </w:p>
    <w:p w14:paraId="2C91A810">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w:t>
      </w:r>
      <w:r>
        <w:rPr>
          <w:rFonts w:hint="default" w:ascii="Arial" w:hAnsi="Arial" w:cs="Arial" w:eastAsiaTheme="majorEastAsia"/>
          <w:b w:val="0"/>
          <w:bCs w:val="0"/>
          <w:lang w:val="en-US" w:eastAsia="pt-BR"/>
        </w:rPr>
        <w:t>5</w:t>
      </w:r>
      <w:r>
        <w:rPr>
          <w:rFonts w:ascii="Arial" w:hAnsi="Arial" w:cs="Arial" w:eastAsiaTheme="majorEastAsia"/>
          <w:b w:val="0"/>
          <w:bCs w:val="0"/>
          <w:lang w:val="pt-BR" w:eastAsia="pt-BR"/>
        </w:rPr>
        <w:t>. Na ocorrência de rejeição da(s) Nota(s) Fiscal (s), motivada por erro ou incorreções, o prazo para pagamento estipulado acima passará a ser contado a partir da data de sua reapresentação;</w:t>
      </w:r>
    </w:p>
    <w:p w14:paraId="73C57F8F">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w:t>
      </w: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2876A3A">
      <w:pPr>
        <w:pStyle w:val="19"/>
        <w:tabs>
          <w:tab w:val="left" w:pos="284"/>
        </w:tabs>
        <w:spacing w:line="276" w:lineRule="auto"/>
        <w:ind w:left="0"/>
        <w:jc w:val="both"/>
        <w:rPr>
          <w:rFonts w:hint="default"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hint="default" w:ascii="Arial" w:hAnsi="Arial" w:cs="Arial" w:eastAsiaTheme="majorEastAsia"/>
          <w:b w:val="0"/>
          <w:bCs w:val="0"/>
          <w:lang w:val="pt-BR" w:eastAsia="pt-BR"/>
        </w:rPr>
        <w:t>.</w:t>
      </w:r>
      <w:r>
        <w:rPr>
          <w:rFonts w:hint="default" w:ascii="Arial" w:hAnsi="Arial" w:cs="Arial" w:eastAsiaTheme="majorEastAsia"/>
          <w:b w:val="0"/>
          <w:bCs w:val="0"/>
          <w:lang w:val="en-US" w:eastAsia="pt-BR"/>
        </w:rPr>
        <w:t>7</w:t>
      </w:r>
      <w:r>
        <w:rPr>
          <w:rFonts w:hint="default" w:ascii="Arial" w:hAnsi="Arial" w:cs="Arial" w:eastAsiaTheme="majorEastAsia"/>
          <w:b w:val="0"/>
          <w:bCs w:val="0"/>
          <w:lang w:val="pt-BR" w:eastAsia="pt-BR"/>
        </w:rPr>
        <w:t>.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0DB24910">
      <w:pPr>
        <w:pStyle w:val="19"/>
        <w:tabs>
          <w:tab w:val="left" w:pos="284"/>
        </w:tabs>
        <w:spacing w:line="276" w:lineRule="auto"/>
        <w:ind w:left="0"/>
        <w:jc w:val="both"/>
        <w:rPr>
          <w:rFonts w:ascii="Arial" w:hAnsi="Arial" w:cs="Arial" w:eastAsiaTheme="majorEastAsia"/>
          <w:b/>
          <w:bCs/>
          <w:lang w:val="pt-BR" w:eastAsia="pt-BR"/>
        </w:rPr>
      </w:pPr>
    </w:p>
    <w:p w14:paraId="0E7E2873">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CDD9C2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2050618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21CB157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22A57DF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771F16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1F51FB4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1D9B305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279382A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1EC86536">
      <w:pPr>
        <w:widowControl/>
        <w:tabs>
          <w:tab w:val="left" w:pos="426"/>
        </w:tabs>
        <w:autoSpaceDE/>
        <w:autoSpaceDN/>
        <w:spacing w:before="120" w:after="120" w:line="276" w:lineRule="auto"/>
        <w:jc w:val="both"/>
        <w:rPr>
          <w:rFonts w:ascii="Arial" w:hAnsi="Arial" w:cs="Arial"/>
          <w:bCs/>
          <w:i/>
          <w:color w:val="FF0000"/>
        </w:rPr>
      </w:pPr>
    </w:p>
    <w:p w14:paraId="0BD2ED54">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2B10BA7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4578CC3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2667169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1C3C06E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2F4747D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13BED0D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2162B8D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9C5DE2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6D04A41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13AA15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09435DE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2A8C0F6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D1F521">
      <w:pPr>
        <w:pStyle w:val="19"/>
        <w:widowControl/>
        <w:tabs>
          <w:tab w:val="left" w:pos="426"/>
        </w:tabs>
        <w:autoSpaceDE/>
        <w:autoSpaceDN/>
        <w:spacing w:before="120" w:after="120" w:line="276" w:lineRule="auto"/>
        <w:ind w:left="862"/>
        <w:jc w:val="both"/>
        <w:rPr>
          <w:rFonts w:ascii="Arial" w:hAnsi="Arial" w:cs="Arial"/>
          <w:bCs/>
          <w:iCs/>
          <w:lang w:val="pt-BR"/>
        </w:rPr>
      </w:pPr>
    </w:p>
    <w:p w14:paraId="0E1FE0CC">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0AB26DC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34352F1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573D11D">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0FF78E0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2DBC4A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3106FA9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5448E1A">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87CC2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4CA8131E">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7C2195C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35901DF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6C25720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1466A2B9">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0564B42D">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42970523">
      <w:pPr>
        <w:pStyle w:val="45"/>
        <w:numPr>
          <w:ilvl w:val="1"/>
          <w:numId w:val="3"/>
        </w:numPr>
        <w:rPr>
          <w:sz w:val="22"/>
          <w:szCs w:val="22"/>
        </w:rPr>
      </w:pPr>
      <w:r>
        <w:rPr>
          <w:sz w:val="22"/>
          <w:szCs w:val="22"/>
        </w:rPr>
        <w:t xml:space="preserve">Guardar sigilo sobre todas as informações obtidas em decorrência do cumprimento do contrato; </w:t>
      </w:r>
    </w:p>
    <w:p w14:paraId="284C7C61">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4D45F60D">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472FFFC0">
      <w:pPr>
        <w:pStyle w:val="19"/>
        <w:tabs>
          <w:tab w:val="left" w:pos="284"/>
        </w:tabs>
        <w:spacing w:line="276" w:lineRule="auto"/>
        <w:ind w:left="0"/>
        <w:rPr>
          <w:rFonts w:ascii="Arial" w:hAnsi="Arial" w:cs="Arial" w:eastAsiaTheme="majorEastAsia"/>
          <w:b/>
          <w:bCs/>
          <w:lang w:val="pt-BR" w:eastAsia="pt-BR"/>
        </w:rPr>
      </w:pPr>
    </w:p>
    <w:p w14:paraId="432B2EAD">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4F64ED0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5B66EA83">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35EB66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D1F18A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40738674">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2C969683">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6ED991F0">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62CFAA7C">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0252DAC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459E058F">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70ACCC5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4C96BCE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1B7DF73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48945E0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7" w:name="_Hlk114504069"/>
      <w:r>
        <w:rPr>
          <w:rStyle w:val="9"/>
          <w:rFonts w:ascii="Arial" w:hAnsi="Arial" w:eastAsia="Arial" w:cs="Arial"/>
        </w:rPr>
        <w:t>Lei nº 14.133, de 2021</w:t>
      </w:r>
      <w:bookmarkEnd w:id="17"/>
      <w:r>
        <w:rPr>
          <w:rStyle w:val="9"/>
          <w:rFonts w:ascii="Arial" w:hAnsi="Arial" w:eastAsia="Arial" w:cs="Arial"/>
        </w:rPr>
        <w:fldChar w:fldCharType="end"/>
      </w:r>
      <w:r>
        <w:rPr>
          <w:rFonts w:ascii="Arial" w:hAnsi="Arial" w:eastAsia="Arial" w:cs="Arial"/>
        </w:rPr>
        <w:t>);</w:t>
      </w:r>
    </w:p>
    <w:p w14:paraId="00E7A8B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C79891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6671125">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363665F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5C091388">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7FA7D3A5">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3E8CF25E">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019BAC2F">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3E6F107D">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209D338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05E6BD89">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4A42CD6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16740889">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374E3B3F">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5D87EA29">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37CF3553">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08241F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304C8E33">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03AFA0F3">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783B6699">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54975E5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A1C591C">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637F6E86">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073C46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245FA923">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12E139C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1928214F">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718FDE4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3DD86CC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15B947CC">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5CE0C6C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0570DFD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616B160">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2DBF1F0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4443045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9A241EE">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5ED7DB70">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7D947297">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4AB2C86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67DE5D36">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295DB55C">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299F28D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2F969A8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408187AF">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2EC9AC">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36428C73">
      <w:pPr>
        <w:spacing w:line="323" w:lineRule="atLeast"/>
        <w:jc w:val="both"/>
        <w:rPr>
          <w:rFonts w:asciiTheme="minorHAnsi" w:hAnsiTheme="minorHAnsi" w:cstheme="minorHAnsi"/>
          <w:sz w:val="22"/>
          <w:szCs w:val="22"/>
        </w:rPr>
      </w:pPr>
    </w:p>
    <w:p w14:paraId="46A8AC4B">
      <w:pPr>
        <w:spacing w:line="323" w:lineRule="atLeast"/>
        <w:ind w:left="0" w:leftChars="0" w:firstLine="0"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eastAsia="Verdana" w:cs="Arial"/>
          <w:sz w:val="22"/>
          <w:szCs w:val="22"/>
          <w:lang w:val="pt-BR" w:eastAsia="en-US" w:bidi="ar-SA"/>
        </w:rPr>
        <w:t>3</w:t>
      </w:r>
      <w:r>
        <w:rPr>
          <w:rFonts w:ascii="Arial" w:hAnsi="Arial" w:eastAsia="Verdana" w:cs="Arial"/>
          <w:sz w:val="22"/>
          <w:szCs w:val="22"/>
          <w:lang w:val="pt-PT" w:eastAsia="en-US" w:bidi="ar-SA"/>
        </w:rPr>
        <w:t>.1. As despesas decorrentes da presente contratação correrão à conta de recursos específicos consignados no Orçamento do Município;</w:t>
      </w:r>
    </w:p>
    <w:p w14:paraId="542FC37A">
      <w:pPr>
        <w:spacing w:line="323" w:lineRule="atLeast"/>
        <w:ind w:left="0" w:leftChars="0" w:firstLine="0" w:firstLineChars="0"/>
        <w:jc w:val="both"/>
        <w:rPr>
          <w:rFonts w:ascii="Arial" w:hAnsi="Arial" w:eastAsia="Verdana" w:cs="Arial"/>
          <w:sz w:val="22"/>
          <w:szCs w:val="22"/>
          <w:lang w:val="pt-PT" w:eastAsia="en-US" w:bidi="ar-SA"/>
        </w:rPr>
      </w:pPr>
      <w:r>
        <w:rPr>
          <w:rFonts w:hint="default" w:ascii="Arial" w:hAnsi="Arial" w:eastAsia="Verdana" w:cs="Arial"/>
          <w:sz w:val="22"/>
          <w:szCs w:val="22"/>
          <w:lang w:val="pt-BR" w:eastAsia="en-US" w:bidi="ar-SA"/>
        </w:rPr>
        <w:t>13</w:t>
      </w:r>
      <w:r>
        <w:rPr>
          <w:rFonts w:ascii="Arial" w:hAnsi="Arial" w:eastAsia="Verdana" w:cs="Arial"/>
          <w:sz w:val="22"/>
          <w:szCs w:val="22"/>
          <w:lang w:val="pt-PT" w:eastAsia="en-US" w:bidi="ar-SA"/>
        </w:rPr>
        <w:t>.2. A contratação será atendida pela seguinte dotação:</w:t>
      </w:r>
    </w:p>
    <w:p w14:paraId="44E31657">
      <w:pPr>
        <w:spacing w:line="323" w:lineRule="atLeast"/>
        <w:ind w:left="567"/>
        <w:jc w:val="both"/>
        <w:rPr>
          <w:rFonts w:asciiTheme="minorHAnsi" w:hAnsiTheme="minorHAnsi" w:cstheme="minorHAnsi"/>
          <w:sz w:val="22"/>
          <w:szCs w:val="22"/>
        </w:rPr>
      </w:pP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5"/>
        <w:gridCol w:w="2622"/>
        <w:gridCol w:w="1023"/>
        <w:gridCol w:w="1304"/>
      </w:tblGrid>
      <w:tr w14:paraId="711C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350" w:type="pct"/>
            <w:shd w:val="clear" w:color="auto" w:fill="D0CECE"/>
            <w:vAlign w:val="center"/>
          </w:tcPr>
          <w:p w14:paraId="1FBD45B6">
            <w:pPr>
              <w:pStyle w:val="19"/>
              <w:spacing w:line="276" w:lineRule="auto"/>
              <w:ind w:left="0"/>
              <w:jc w:val="center"/>
              <w:rPr>
                <w:rFonts w:asciiTheme="minorHAnsi" w:hAnsiTheme="minorHAnsi" w:cstheme="minorHAnsi"/>
                <w:sz w:val="22"/>
                <w:szCs w:val="22"/>
              </w:rPr>
            </w:pPr>
            <w:r>
              <w:rPr>
                <w:rFonts w:asciiTheme="minorHAnsi" w:hAnsiTheme="minorHAnsi" w:cstheme="minorHAnsi"/>
                <w:b/>
                <w:bCs/>
                <w:iCs/>
                <w:sz w:val="22"/>
                <w:szCs w:val="22"/>
              </w:rPr>
              <w:t>Unidades</w:t>
            </w:r>
          </w:p>
        </w:tc>
        <w:tc>
          <w:tcPr>
            <w:tcW w:w="1362" w:type="pct"/>
            <w:tcBorders>
              <w:right w:val="nil"/>
            </w:tcBorders>
            <w:shd w:val="clear" w:color="auto" w:fill="D0CECE"/>
            <w:vAlign w:val="center"/>
          </w:tcPr>
          <w:p w14:paraId="293DD7AD">
            <w:pPr>
              <w:pStyle w:val="19"/>
              <w:spacing w:line="276" w:lineRule="auto"/>
              <w:ind w:left="40"/>
              <w:jc w:val="center"/>
              <w:rPr>
                <w:rFonts w:asciiTheme="minorHAnsi" w:hAnsiTheme="minorHAnsi" w:cstheme="minorHAnsi"/>
                <w:sz w:val="22"/>
                <w:szCs w:val="22"/>
              </w:rPr>
            </w:pPr>
            <w:r>
              <w:rPr>
                <w:rFonts w:asciiTheme="minorHAnsi" w:hAnsiTheme="minorHAnsi" w:cstheme="minorHAnsi"/>
                <w:b/>
                <w:bCs/>
                <w:iCs/>
                <w:sz w:val="22"/>
                <w:szCs w:val="22"/>
              </w:rPr>
              <w:t>Programa de Trabalho</w:t>
            </w:r>
          </w:p>
        </w:tc>
        <w:tc>
          <w:tcPr>
            <w:tcW w:w="567" w:type="pct"/>
            <w:tcBorders>
              <w:right w:val="nil"/>
            </w:tcBorders>
            <w:shd w:val="clear" w:color="auto" w:fill="D0CECE"/>
            <w:vAlign w:val="center"/>
          </w:tcPr>
          <w:p w14:paraId="420756ED">
            <w:pPr>
              <w:pStyle w:val="19"/>
              <w:spacing w:line="276" w:lineRule="auto"/>
              <w:ind w:left="40"/>
              <w:jc w:val="center"/>
              <w:rPr>
                <w:rFonts w:asciiTheme="minorHAnsi" w:hAnsiTheme="minorHAnsi" w:cstheme="minorHAnsi"/>
                <w:sz w:val="22"/>
                <w:szCs w:val="22"/>
              </w:rPr>
            </w:pPr>
            <w:r>
              <w:rPr>
                <w:rFonts w:asciiTheme="minorHAnsi" w:hAnsiTheme="minorHAnsi" w:cstheme="minorHAnsi"/>
                <w:b/>
                <w:bCs/>
                <w:iCs/>
                <w:sz w:val="22"/>
                <w:szCs w:val="22"/>
              </w:rPr>
              <w:t>Fonte de Recurso</w:t>
            </w:r>
          </w:p>
        </w:tc>
        <w:tc>
          <w:tcPr>
            <w:tcW w:w="718" w:type="pct"/>
            <w:shd w:val="clear" w:color="auto" w:fill="D0CECE"/>
            <w:vAlign w:val="center"/>
          </w:tcPr>
          <w:p w14:paraId="6C3026C6">
            <w:pPr>
              <w:pStyle w:val="19"/>
              <w:spacing w:line="276" w:lineRule="auto"/>
              <w:ind w:left="40"/>
              <w:jc w:val="center"/>
              <w:rPr>
                <w:rFonts w:asciiTheme="minorHAnsi" w:hAnsiTheme="minorHAnsi" w:cstheme="minorHAnsi"/>
                <w:sz w:val="22"/>
                <w:szCs w:val="22"/>
              </w:rPr>
            </w:pPr>
            <w:r>
              <w:rPr>
                <w:rFonts w:asciiTheme="minorHAnsi" w:hAnsiTheme="minorHAnsi" w:cstheme="minorHAnsi"/>
                <w:b/>
                <w:bCs/>
                <w:iCs/>
                <w:sz w:val="22"/>
                <w:szCs w:val="22"/>
              </w:rPr>
              <w:t>Natureza de Despesa</w:t>
            </w:r>
          </w:p>
        </w:tc>
      </w:tr>
      <w:tr w14:paraId="6E56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350" w:type="pct"/>
            <w:vAlign w:val="center"/>
          </w:tcPr>
          <w:p w14:paraId="38EB2B80">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Municipal Raul Sertã</w:t>
            </w:r>
          </w:p>
        </w:tc>
        <w:tc>
          <w:tcPr>
            <w:tcW w:w="1362" w:type="pct"/>
            <w:tcBorders>
              <w:right w:val="nil"/>
            </w:tcBorders>
            <w:vAlign w:val="center"/>
          </w:tcPr>
          <w:p w14:paraId="7E84FC35">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36001.10.302.1004.2.141</w:t>
            </w:r>
          </w:p>
        </w:tc>
        <w:tc>
          <w:tcPr>
            <w:tcW w:w="567" w:type="pct"/>
            <w:vMerge w:val="restart"/>
            <w:tcBorders>
              <w:right w:val="nil"/>
            </w:tcBorders>
            <w:vAlign w:val="center"/>
          </w:tcPr>
          <w:p w14:paraId="40F9D310">
            <w:pPr>
              <w:pStyle w:val="19"/>
              <w:spacing w:line="276" w:lineRule="auto"/>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718" w:type="pct"/>
            <w:vMerge w:val="restart"/>
            <w:vAlign w:val="center"/>
          </w:tcPr>
          <w:p w14:paraId="4D9B550F">
            <w:pPr>
              <w:pStyle w:val="19"/>
              <w:spacing w:line="276" w:lineRule="auto"/>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33.90.30.08</w:t>
            </w:r>
          </w:p>
        </w:tc>
      </w:tr>
      <w:tr w14:paraId="29CC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350" w:type="pct"/>
            <w:vAlign w:val="center"/>
          </w:tcPr>
          <w:p w14:paraId="45A6E3CA">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Maternidade Dr. Mário Dutra de Castro</w:t>
            </w:r>
          </w:p>
        </w:tc>
        <w:tc>
          <w:tcPr>
            <w:tcW w:w="1362" w:type="pct"/>
            <w:tcBorders>
              <w:right w:val="nil"/>
            </w:tcBorders>
            <w:vAlign w:val="center"/>
          </w:tcPr>
          <w:p w14:paraId="75A4E46E">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36001.10.302.1004.2.142</w:t>
            </w:r>
          </w:p>
        </w:tc>
        <w:tc>
          <w:tcPr>
            <w:tcW w:w="567" w:type="pct"/>
            <w:vMerge w:val="continue"/>
            <w:tcBorders>
              <w:right w:val="nil"/>
            </w:tcBorders>
            <w:vAlign w:val="center"/>
          </w:tcPr>
          <w:p w14:paraId="26706851">
            <w:pPr>
              <w:pStyle w:val="19"/>
              <w:spacing w:line="276" w:lineRule="auto"/>
              <w:ind w:left="-102"/>
              <w:jc w:val="center"/>
              <w:rPr>
                <w:rFonts w:ascii="Arial" w:hAnsi="Arial" w:eastAsia="Verdana" w:cs="Arial"/>
                <w:sz w:val="22"/>
                <w:szCs w:val="22"/>
                <w:lang w:val="pt-PT" w:eastAsia="en-US" w:bidi="ar-SA"/>
              </w:rPr>
            </w:pPr>
          </w:p>
        </w:tc>
        <w:tc>
          <w:tcPr>
            <w:tcW w:w="718" w:type="pct"/>
            <w:vMerge w:val="continue"/>
            <w:vAlign w:val="center"/>
          </w:tcPr>
          <w:p w14:paraId="217BD462">
            <w:pPr>
              <w:pStyle w:val="19"/>
              <w:spacing w:line="276" w:lineRule="auto"/>
              <w:ind w:left="-102"/>
              <w:jc w:val="center"/>
              <w:rPr>
                <w:rFonts w:ascii="Arial" w:hAnsi="Arial" w:eastAsia="Verdana" w:cs="Arial"/>
                <w:sz w:val="22"/>
                <w:szCs w:val="22"/>
                <w:lang w:val="pt-PT" w:eastAsia="en-US" w:bidi="ar-SA"/>
              </w:rPr>
            </w:pPr>
          </w:p>
        </w:tc>
      </w:tr>
      <w:tr w14:paraId="49C5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350" w:type="pct"/>
            <w:tcBorders>
              <w:top w:val="nil"/>
            </w:tcBorders>
            <w:vAlign w:val="center"/>
          </w:tcPr>
          <w:p w14:paraId="7C2C45BD">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Subsecretaria de Atenção Básica</w:t>
            </w:r>
          </w:p>
        </w:tc>
        <w:tc>
          <w:tcPr>
            <w:tcW w:w="1362" w:type="pct"/>
            <w:tcBorders>
              <w:top w:val="nil"/>
              <w:right w:val="nil"/>
            </w:tcBorders>
            <w:vAlign w:val="center"/>
          </w:tcPr>
          <w:p w14:paraId="4F6C36BE">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36001.10.301.1003.2.134</w:t>
            </w:r>
          </w:p>
        </w:tc>
        <w:tc>
          <w:tcPr>
            <w:tcW w:w="567" w:type="pct"/>
            <w:vMerge w:val="continue"/>
            <w:tcBorders>
              <w:right w:val="nil"/>
            </w:tcBorders>
            <w:vAlign w:val="center"/>
          </w:tcPr>
          <w:p w14:paraId="2EE5521F">
            <w:pPr>
              <w:pStyle w:val="19"/>
              <w:spacing w:line="276" w:lineRule="auto"/>
              <w:ind w:left="-102"/>
              <w:jc w:val="center"/>
              <w:rPr>
                <w:rFonts w:ascii="Arial" w:hAnsi="Arial" w:eastAsia="Verdana" w:cs="Arial"/>
                <w:sz w:val="22"/>
                <w:szCs w:val="22"/>
                <w:lang w:val="pt-PT" w:eastAsia="en-US" w:bidi="ar-SA"/>
              </w:rPr>
            </w:pPr>
          </w:p>
        </w:tc>
        <w:tc>
          <w:tcPr>
            <w:tcW w:w="718" w:type="pct"/>
            <w:vMerge w:val="continue"/>
            <w:vAlign w:val="center"/>
          </w:tcPr>
          <w:p w14:paraId="43C1E299">
            <w:pPr>
              <w:pStyle w:val="19"/>
              <w:spacing w:line="276" w:lineRule="auto"/>
              <w:ind w:left="-102"/>
              <w:jc w:val="center"/>
              <w:rPr>
                <w:rFonts w:ascii="Arial" w:hAnsi="Arial" w:eastAsia="Verdana" w:cs="Arial"/>
                <w:sz w:val="22"/>
                <w:szCs w:val="22"/>
                <w:lang w:val="pt-PT" w:eastAsia="en-US" w:bidi="ar-SA"/>
              </w:rPr>
            </w:pPr>
          </w:p>
        </w:tc>
      </w:tr>
      <w:tr w14:paraId="44ED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350" w:type="pct"/>
            <w:tcBorders>
              <w:top w:val="nil"/>
            </w:tcBorders>
            <w:vAlign w:val="center"/>
          </w:tcPr>
          <w:p w14:paraId="58E2B983">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Estratégia de Saúde da Família</w:t>
            </w:r>
          </w:p>
        </w:tc>
        <w:tc>
          <w:tcPr>
            <w:tcW w:w="1362" w:type="pct"/>
            <w:tcBorders>
              <w:top w:val="nil"/>
              <w:right w:val="nil"/>
            </w:tcBorders>
            <w:vAlign w:val="center"/>
          </w:tcPr>
          <w:p w14:paraId="214EEDE6">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36001.10.301.1003.2.135</w:t>
            </w:r>
          </w:p>
        </w:tc>
        <w:tc>
          <w:tcPr>
            <w:tcW w:w="567" w:type="pct"/>
            <w:vMerge w:val="continue"/>
            <w:tcBorders>
              <w:top w:val="nil"/>
              <w:right w:val="nil"/>
            </w:tcBorders>
            <w:vAlign w:val="center"/>
          </w:tcPr>
          <w:p w14:paraId="20406518">
            <w:pPr>
              <w:pStyle w:val="19"/>
              <w:spacing w:line="276" w:lineRule="auto"/>
              <w:ind w:left="-102"/>
              <w:jc w:val="center"/>
              <w:rPr>
                <w:rFonts w:ascii="Arial" w:hAnsi="Arial" w:eastAsia="Verdana" w:cs="Arial"/>
                <w:sz w:val="22"/>
                <w:szCs w:val="22"/>
                <w:lang w:val="pt-PT" w:eastAsia="en-US" w:bidi="ar-SA"/>
              </w:rPr>
            </w:pPr>
          </w:p>
        </w:tc>
        <w:tc>
          <w:tcPr>
            <w:tcW w:w="718" w:type="pct"/>
            <w:vMerge w:val="continue"/>
            <w:tcBorders>
              <w:top w:val="nil"/>
            </w:tcBorders>
            <w:vAlign w:val="center"/>
          </w:tcPr>
          <w:p w14:paraId="3F3969E7">
            <w:pPr>
              <w:pStyle w:val="19"/>
              <w:spacing w:line="276" w:lineRule="auto"/>
              <w:ind w:left="-102"/>
              <w:jc w:val="center"/>
              <w:rPr>
                <w:rFonts w:ascii="Arial" w:hAnsi="Arial" w:eastAsia="Verdana" w:cs="Arial"/>
                <w:sz w:val="22"/>
                <w:szCs w:val="22"/>
                <w:lang w:val="pt-PT" w:eastAsia="en-US" w:bidi="ar-SA"/>
              </w:rPr>
            </w:pPr>
          </w:p>
        </w:tc>
      </w:tr>
    </w:tbl>
    <w:p w14:paraId="04911708">
      <w:pPr>
        <w:spacing w:line="323" w:lineRule="atLeast"/>
        <w:ind w:left="567"/>
        <w:jc w:val="both"/>
        <w:rPr>
          <w:rFonts w:asciiTheme="minorHAnsi" w:hAnsiTheme="minorHAnsi" w:cstheme="minorHAnsi"/>
          <w:sz w:val="22"/>
          <w:szCs w:val="22"/>
        </w:rPr>
      </w:pPr>
    </w:p>
    <w:p w14:paraId="2648F1C8">
      <w:pPr>
        <w:spacing w:line="323" w:lineRule="atLeast"/>
        <w:ind w:left="0" w:leftChars="0" w:firstLine="0"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.3. A dotação relativa aos exercícios financeiros subsequentes será indicada após aprovação da Lei Orçamentária respectiva e liberação dos créditos correspondentes, mediante apostilamento.</w:t>
      </w:r>
    </w:p>
    <w:p w14:paraId="635BE207">
      <w:pPr>
        <w:spacing w:line="323" w:lineRule="atLeast"/>
        <w:ind w:left="0" w:leftChars="0" w:firstLine="0" w:firstLineChars="0"/>
        <w:jc w:val="both"/>
        <w:rPr>
          <w:rFonts w:ascii="Arial" w:hAnsi="Arial" w:eastAsia="Verdana" w:cs="Arial"/>
          <w:sz w:val="22"/>
          <w:szCs w:val="22"/>
          <w:lang w:val="pt-PT" w:eastAsia="en-US" w:bidi="ar-SA"/>
        </w:rPr>
      </w:pPr>
    </w:p>
    <w:p w14:paraId="000D69FF">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036A24B9">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3F203232">
      <w:pPr>
        <w:pStyle w:val="19"/>
        <w:numPr>
          <w:ilvl w:val="0"/>
          <w:numId w:val="0"/>
        </w:numPr>
        <w:tabs>
          <w:tab w:val="left" w:pos="426"/>
        </w:tabs>
        <w:ind w:leftChars="0"/>
        <w:jc w:val="both"/>
        <w:rPr>
          <w:rFonts w:ascii="Arial" w:hAnsi="Arial" w:cs="Arial"/>
        </w:rPr>
      </w:pPr>
    </w:p>
    <w:p w14:paraId="5F3302E0">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7E210CA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1F7ACA69">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13540AA8">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6F1CA0C0">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7AB290FA">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14:paraId="2AA91A4A">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424C75B0">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03C35EC3">
      <w:pPr>
        <w:pStyle w:val="19"/>
        <w:numPr>
          <w:ilvl w:val="0"/>
          <w:numId w:val="0"/>
        </w:numPr>
        <w:tabs>
          <w:tab w:val="left" w:pos="426"/>
        </w:tabs>
        <w:ind w:leftChars="0"/>
        <w:jc w:val="both"/>
        <w:rPr>
          <w:rFonts w:ascii="Arial" w:hAnsi="Arial" w:cs="Arial"/>
        </w:rPr>
      </w:pPr>
    </w:p>
    <w:p w14:paraId="2E8A9D56">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E9F00F9">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5868C5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4E699173">
      <w:pPr>
        <w:spacing w:before="120" w:after="120" w:line="276" w:lineRule="auto"/>
        <w:jc w:val="both"/>
        <w:rPr>
          <w:rFonts w:ascii="Arial" w:hAnsi="Arial" w:cs="Arial"/>
        </w:rPr>
      </w:pPr>
    </w:p>
    <w:p w14:paraId="2EB3E2E6">
      <w:pPr>
        <w:spacing w:after="120" w:line="360" w:lineRule="auto"/>
        <w:ind w:right="-15"/>
        <w:jc w:val="right"/>
        <w:rPr>
          <w:rFonts w:ascii="Arial" w:hAnsi="Arial" w:cs="Arial"/>
        </w:rPr>
      </w:pPr>
      <w:r>
        <w:rPr>
          <w:rFonts w:ascii="Arial" w:hAnsi="Arial" w:cs="Arial"/>
        </w:rPr>
        <w:t>...........................................,  .......... de.......................................... de 2026.</w:t>
      </w:r>
    </w:p>
    <w:p w14:paraId="2B049117">
      <w:pPr>
        <w:spacing w:after="120"/>
        <w:jc w:val="center"/>
        <w:rPr>
          <w:rFonts w:ascii="Arial" w:hAnsi="Arial" w:cs="Arial"/>
          <w:bCs/>
        </w:rPr>
      </w:pPr>
    </w:p>
    <w:p w14:paraId="4C184C0C">
      <w:pPr>
        <w:spacing w:after="120"/>
        <w:jc w:val="center"/>
        <w:rPr>
          <w:rFonts w:ascii="Arial" w:hAnsi="Arial" w:cs="Arial"/>
          <w:bCs/>
        </w:rPr>
      </w:pPr>
      <w:r>
        <w:rPr>
          <w:rFonts w:ascii="Arial" w:hAnsi="Arial" w:cs="Arial"/>
          <w:bCs/>
        </w:rPr>
        <w:t>_________________________</w:t>
      </w:r>
    </w:p>
    <w:p w14:paraId="0A154DDF">
      <w:pPr>
        <w:spacing w:after="120"/>
        <w:jc w:val="center"/>
        <w:rPr>
          <w:rFonts w:ascii="Arial" w:hAnsi="Arial" w:cs="Arial"/>
          <w:bCs/>
        </w:rPr>
      </w:pPr>
      <w:r>
        <w:rPr>
          <w:rFonts w:ascii="Arial" w:hAnsi="Arial" w:cs="Arial"/>
          <w:bCs/>
        </w:rPr>
        <w:t>Responsável legal da CONTRATANTE</w:t>
      </w:r>
    </w:p>
    <w:p w14:paraId="2FC432F9">
      <w:pPr>
        <w:spacing w:after="120"/>
        <w:jc w:val="center"/>
        <w:rPr>
          <w:rFonts w:ascii="Arial" w:hAnsi="Arial" w:cs="Arial"/>
        </w:rPr>
      </w:pPr>
    </w:p>
    <w:p w14:paraId="6A9BCA83">
      <w:pPr>
        <w:spacing w:after="120"/>
        <w:jc w:val="center"/>
        <w:rPr>
          <w:rFonts w:ascii="Arial" w:hAnsi="Arial" w:cs="Arial"/>
        </w:rPr>
      </w:pPr>
      <w:r>
        <w:rPr>
          <w:rFonts w:ascii="Arial" w:hAnsi="Arial" w:cs="Arial"/>
        </w:rPr>
        <w:t>_________________________</w:t>
      </w:r>
    </w:p>
    <w:p w14:paraId="2C68DB9D">
      <w:pPr>
        <w:spacing w:after="120"/>
        <w:jc w:val="center"/>
        <w:rPr>
          <w:rFonts w:ascii="Arial" w:hAnsi="Arial" w:cs="Arial"/>
        </w:rPr>
      </w:pPr>
      <w:r>
        <w:rPr>
          <w:rFonts w:ascii="Arial" w:hAnsi="Arial" w:cs="Arial"/>
        </w:rPr>
        <w:t>Responsável legal da CONTRATADA</w:t>
      </w:r>
    </w:p>
    <w:p w14:paraId="4E4600A1">
      <w:pPr>
        <w:spacing w:after="120"/>
        <w:jc w:val="both"/>
        <w:rPr>
          <w:rFonts w:ascii="Arial" w:hAnsi="Arial" w:cs="Arial"/>
        </w:rPr>
      </w:pPr>
    </w:p>
    <w:p w14:paraId="262C7AD3">
      <w:pPr>
        <w:spacing w:after="120"/>
        <w:jc w:val="both"/>
        <w:rPr>
          <w:rFonts w:ascii="Arial" w:hAnsi="Arial" w:cs="Arial"/>
        </w:rPr>
      </w:pPr>
      <w:r>
        <w:rPr>
          <w:rFonts w:ascii="Arial" w:hAnsi="Arial" w:cs="Arial"/>
        </w:rPr>
        <w:t>TESTEMUNHAS:</w:t>
      </w:r>
    </w:p>
    <w:p w14:paraId="0EEC07B3">
      <w:pPr>
        <w:spacing w:after="120"/>
        <w:jc w:val="both"/>
        <w:rPr>
          <w:rFonts w:ascii="Arial" w:hAnsi="Arial" w:cs="Arial"/>
        </w:rPr>
      </w:pPr>
      <w:r>
        <w:rPr>
          <w:rFonts w:ascii="Arial" w:hAnsi="Arial" w:cs="Arial"/>
        </w:rPr>
        <w:t>1-</w:t>
      </w:r>
    </w:p>
    <w:p w14:paraId="7F3D0F46">
      <w:pPr>
        <w:spacing w:after="120"/>
        <w:jc w:val="both"/>
        <w:rPr>
          <w:rFonts w:ascii="Arial" w:hAnsi="Arial" w:cs="Arial"/>
        </w:rPr>
      </w:pPr>
      <w:r>
        <w:rPr>
          <w:rFonts w:ascii="Arial" w:hAnsi="Arial" w:cs="Arial"/>
        </w:rPr>
        <w:t>2-</w:t>
      </w:r>
    </w:p>
    <w:p w14:paraId="3BF7AA94">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F2539">
    <w:pPr>
      <w:pStyle w:val="15"/>
      <w:jc w:val="center"/>
      <w:rPr>
        <w:rFonts w:ascii="Azo Sans Md" w:hAnsi="Azo Sans Md"/>
        <w:b/>
        <w:bCs/>
        <w:color w:val="000000"/>
        <w:sz w:val="18"/>
        <w:szCs w:val="18"/>
      </w:rPr>
    </w:pPr>
  </w:p>
  <w:p w14:paraId="258CAD89">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1328BE4E">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5F0E308F">
    <w:pPr>
      <w:pStyle w:val="15"/>
      <w:jc w:val="center"/>
      <w:rPr>
        <w:rFonts w:ascii="Arial" w:hAnsi="Arial" w:cs="Arial"/>
        <w:color w:val="000000"/>
        <w:sz w:val="18"/>
        <w:szCs w:val="18"/>
      </w:rPr>
    </w:pPr>
    <w:r>
      <w:rPr>
        <w:rFonts w:ascii="Arial" w:hAnsi="Arial" w:cs="Arial"/>
        <w:color w:val="000000"/>
        <w:sz w:val="18"/>
        <w:szCs w:val="18"/>
      </w:rPr>
      <w:t>(22) 2525-9101</w:t>
    </w:r>
  </w:p>
  <w:p w14:paraId="18415D96">
    <w:pPr>
      <w:pStyle w:val="15"/>
      <w:jc w:val="center"/>
      <w:rPr>
        <w:rFonts w:ascii="Arial" w:hAnsi="Arial" w:cs="Arial"/>
        <w:color w:val="000000"/>
        <w:sz w:val="18"/>
        <w:szCs w:val="18"/>
      </w:rPr>
    </w:pPr>
  </w:p>
  <w:p w14:paraId="5AE77F60">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C3028">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96444">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F83BD">
    <w:pPr>
      <w:pStyle w:val="14"/>
      <w:ind w:left="-440" w:leftChars="-20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7EC45650">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6A8666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84703">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724F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7911EC0"/>
    <w:rsid w:val="0D9E471A"/>
    <w:rsid w:val="11CC2ACE"/>
    <w:rsid w:val="198D53B4"/>
    <w:rsid w:val="1AF72D93"/>
    <w:rsid w:val="1EC42E8C"/>
    <w:rsid w:val="1FD12E07"/>
    <w:rsid w:val="290D4D48"/>
    <w:rsid w:val="2E7674D7"/>
    <w:rsid w:val="34C875B9"/>
    <w:rsid w:val="389B36DB"/>
    <w:rsid w:val="3A8079AD"/>
    <w:rsid w:val="3C4D19A5"/>
    <w:rsid w:val="3C9967A2"/>
    <w:rsid w:val="3D361311"/>
    <w:rsid w:val="40F62F9F"/>
    <w:rsid w:val="41FB230C"/>
    <w:rsid w:val="501F24D5"/>
    <w:rsid w:val="5B8D7A1D"/>
    <w:rsid w:val="5C237373"/>
    <w:rsid w:val="623C6820"/>
    <w:rsid w:val="655965EF"/>
    <w:rsid w:val="6587757E"/>
    <w:rsid w:val="68532C20"/>
    <w:rsid w:val="69464D43"/>
    <w:rsid w:val="6ABA5FAD"/>
    <w:rsid w:val="6B097DCD"/>
    <w:rsid w:val="6BD97314"/>
    <w:rsid w:val="749B1192"/>
    <w:rsid w:val="77B2358A"/>
    <w:rsid w:val="7FDD59A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uiPriority w:val="0"/>
    <w:rPr>
      <w:rFonts w:ascii="Arial" w:hAnsi="Arial" w:cs="Arial" w:eastAsiaTheme="majorEastAsia"/>
      <w:b/>
      <w:bCs/>
    </w:rPr>
  </w:style>
  <w:style w:type="character" w:customStyle="1" w:styleId="58">
    <w:name w:val="Nível 3-R Char"/>
    <w:basedOn w:val="5"/>
    <w:link w:val="59"/>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5363</Words>
  <Characters>28963</Characters>
  <Lines>241</Lines>
  <Paragraphs>68</Paragraphs>
  <TotalTime>0</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louisa.spitz</cp:lastModifiedBy>
  <cp:lastPrinted>2023-08-22T17:19:00Z</cp:lastPrinted>
  <dcterms:modified xsi:type="dcterms:W3CDTF">2026-07-13T16:54:14Z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